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3949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刘兆慧</w:t>
      </w:r>
      <w:r>
        <w:rPr>
          <w:rFonts w:hint="eastAsia"/>
          <w:sz w:val="15"/>
          <w:szCs w:val="15"/>
          <w:highlight w:val="none"/>
        </w:rPr>
        <w:t>，</w:t>
      </w:r>
      <w:r>
        <w:rPr>
          <w:rFonts w:hint="eastAsia"/>
          <w:sz w:val="15"/>
          <w:szCs w:val="15"/>
          <w:highlight w:val="none"/>
          <w:lang w:val="en-US" w:eastAsia="zh-CN"/>
        </w:rPr>
        <w:t>132336198009011022</w:t>
      </w:r>
      <w:r>
        <w:rPr>
          <w:rFonts w:hint="eastAsia"/>
          <w:sz w:val="15"/>
          <w:szCs w:val="15"/>
        </w:rPr>
        <w:t xml:space="preserve">  </w:t>
      </w:r>
      <w:r>
        <w:rPr>
          <w:rFonts w:hint="eastAsia"/>
          <w:sz w:val="15"/>
          <w:szCs w:val="15"/>
          <w:lang w:val="en-US" w:eastAsia="zh-CN"/>
        </w:rPr>
        <w:t>冀AKW755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