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李京晋</w:t>
      </w:r>
      <w:r>
        <w:rPr>
          <w:rFonts w:hint="eastAsia"/>
          <w:sz w:val="15"/>
          <w:szCs w:val="15"/>
          <w:highlight w:val="none"/>
        </w:rPr>
        <w:t>，</w:t>
      </w:r>
      <w:r>
        <w:rPr>
          <w:rFonts w:hint="eastAsia"/>
          <w:sz w:val="15"/>
          <w:szCs w:val="15"/>
          <w:highlight w:val="none"/>
          <w:lang w:val="en-US" w:eastAsia="zh-CN"/>
        </w:rPr>
        <w:t>142201197208034296</w:t>
      </w:r>
      <w:r>
        <w:rPr>
          <w:rFonts w:hint="eastAsia"/>
          <w:sz w:val="15"/>
          <w:szCs w:val="15"/>
        </w:rPr>
        <w:t xml:space="preserve">  </w:t>
      </w:r>
      <w:r>
        <w:rPr>
          <w:rFonts w:hint="eastAsia"/>
          <w:sz w:val="15"/>
          <w:szCs w:val="15"/>
          <w:lang w:val="en-US" w:eastAsia="zh-CN"/>
        </w:rPr>
        <w:t>晋HW1142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