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于鹤峰</w:t>
      </w:r>
      <w:r>
        <w:rPr>
          <w:rFonts w:hint="eastAsia"/>
          <w:sz w:val="15"/>
          <w:szCs w:val="15"/>
          <w:highlight w:val="none"/>
        </w:rPr>
        <w:t>，</w:t>
      </w:r>
      <w:r>
        <w:rPr>
          <w:rFonts w:hint="eastAsia"/>
          <w:sz w:val="15"/>
          <w:szCs w:val="15"/>
          <w:highlight w:val="none"/>
          <w:lang w:val="en-US" w:eastAsia="zh-CN"/>
        </w:rPr>
        <w:t>130121198207121030</w:t>
      </w:r>
      <w:r>
        <w:rPr>
          <w:rFonts w:hint="eastAsia"/>
          <w:sz w:val="15"/>
          <w:szCs w:val="15"/>
        </w:rPr>
        <w:t xml:space="preserve">  </w:t>
      </w:r>
      <w:r>
        <w:rPr>
          <w:rFonts w:hint="eastAsia"/>
          <w:sz w:val="15"/>
          <w:szCs w:val="15"/>
          <w:lang w:val="en-US" w:eastAsia="zh-CN"/>
        </w:rPr>
        <w:t>冀AHS188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