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3946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和杰峰</w:t>
      </w:r>
      <w:r>
        <w:rPr>
          <w:rFonts w:hint="eastAsia"/>
          <w:sz w:val="15"/>
          <w:szCs w:val="15"/>
          <w:highlight w:val="none"/>
        </w:rPr>
        <w:t>，</w:t>
      </w:r>
      <w:r>
        <w:rPr>
          <w:rFonts w:hint="eastAsia"/>
          <w:sz w:val="15"/>
          <w:szCs w:val="15"/>
          <w:highlight w:val="none"/>
          <w:lang w:val="en-US" w:eastAsia="zh-CN"/>
        </w:rPr>
        <w:t>130184198912260613</w:t>
      </w:r>
      <w:r>
        <w:rPr>
          <w:rFonts w:hint="eastAsia"/>
          <w:sz w:val="15"/>
          <w:szCs w:val="15"/>
        </w:rPr>
        <w:t xml:space="preserve">  </w:t>
      </w:r>
      <w:r>
        <w:rPr>
          <w:rFonts w:hint="eastAsia"/>
          <w:sz w:val="15"/>
          <w:szCs w:val="15"/>
          <w:lang w:val="en-US" w:eastAsia="zh-CN"/>
        </w:rPr>
        <w:t>冀A891EM</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