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3944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白小丽</w:t>
      </w:r>
      <w:r>
        <w:rPr>
          <w:rFonts w:hint="eastAsia"/>
          <w:sz w:val="15"/>
          <w:szCs w:val="15"/>
          <w:highlight w:val="none"/>
        </w:rPr>
        <w:t>，</w:t>
      </w:r>
      <w:r>
        <w:rPr>
          <w:rFonts w:hint="eastAsia"/>
          <w:sz w:val="15"/>
          <w:szCs w:val="15"/>
          <w:highlight w:val="none"/>
          <w:lang w:val="en-US" w:eastAsia="zh-CN"/>
        </w:rPr>
        <w:t>130131198903225442</w:t>
      </w:r>
      <w:r>
        <w:rPr>
          <w:rFonts w:hint="eastAsia"/>
          <w:sz w:val="15"/>
          <w:szCs w:val="15"/>
        </w:rPr>
        <w:t xml:space="preserve">  </w:t>
      </w:r>
      <w:r>
        <w:rPr>
          <w:rFonts w:hint="eastAsia"/>
          <w:sz w:val="15"/>
          <w:szCs w:val="15"/>
          <w:lang w:val="en-US" w:eastAsia="zh-CN"/>
        </w:rPr>
        <w:t>冀ATK269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