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尚明毅</w:t>
      </w:r>
      <w:r>
        <w:rPr>
          <w:rFonts w:hint="eastAsia"/>
          <w:sz w:val="15"/>
          <w:szCs w:val="15"/>
          <w:highlight w:val="none"/>
        </w:rPr>
        <w:t>，</w:t>
      </w:r>
      <w:r>
        <w:rPr>
          <w:rFonts w:hint="eastAsia"/>
          <w:sz w:val="15"/>
          <w:szCs w:val="15"/>
          <w:highlight w:val="none"/>
          <w:lang w:val="en-US" w:eastAsia="zh-CN"/>
        </w:rPr>
        <w:t>410104198408060036</w:t>
      </w:r>
      <w:r>
        <w:rPr>
          <w:rFonts w:hint="eastAsia"/>
          <w:sz w:val="15"/>
          <w:szCs w:val="15"/>
        </w:rPr>
        <w:t xml:space="preserve">  </w:t>
      </w:r>
      <w:r>
        <w:rPr>
          <w:rFonts w:hint="eastAsia"/>
          <w:sz w:val="15"/>
          <w:szCs w:val="15"/>
          <w:lang w:val="en-US" w:eastAsia="zh-CN"/>
        </w:rPr>
        <w:t>豫A5808B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