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常竹林</w:t>
      </w:r>
      <w:r>
        <w:rPr>
          <w:rFonts w:hint="eastAsia"/>
          <w:sz w:val="15"/>
          <w:szCs w:val="15"/>
          <w:highlight w:val="none"/>
        </w:rPr>
        <w:t>，</w:t>
      </w:r>
      <w:r>
        <w:rPr>
          <w:rFonts w:hint="eastAsia"/>
          <w:sz w:val="15"/>
          <w:szCs w:val="15"/>
          <w:highlight w:val="none"/>
          <w:lang w:val="en-US" w:eastAsia="zh-CN"/>
        </w:rPr>
        <w:t>413025198207186918</w:t>
      </w:r>
      <w:r>
        <w:rPr>
          <w:rFonts w:hint="eastAsia"/>
          <w:sz w:val="15"/>
          <w:szCs w:val="15"/>
        </w:rPr>
        <w:t xml:space="preserve">  </w:t>
      </w:r>
      <w:r>
        <w:rPr>
          <w:rFonts w:hint="eastAsia"/>
          <w:sz w:val="15"/>
          <w:szCs w:val="15"/>
          <w:lang w:val="en-US" w:eastAsia="zh-CN"/>
        </w:rPr>
        <w:t>豫A8935X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