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周全生</w:t>
      </w:r>
      <w:r>
        <w:rPr>
          <w:rFonts w:hint="eastAsia"/>
          <w:sz w:val="15"/>
          <w:szCs w:val="15"/>
          <w:highlight w:val="none"/>
        </w:rPr>
        <w:t>，</w:t>
      </w:r>
      <w:r>
        <w:rPr>
          <w:rFonts w:hint="eastAsia"/>
          <w:sz w:val="15"/>
          <w:szCs w:val="15"/>
          <w:highlight w:val="none"/>
          <w:lang w:val="en-US" w:eastAsia="zh-CN"/>
        </w:rPr>
        <w:t>410526198303279998</w:t>
      </w:r>
      <w:r>
        <w:rPr>
          <w:rFonts w:hint="eastAsia"/>
          <w:sz w:val="15"/>
          <w:szCs w:val="15"/>
        </w:rPr>
        <w:t xml:space="preserve">  </w:t>
      </w:r>
      <w:r>
        <w:rPr>
          <w:rFonts w:hint="eastAsia"/>
          <w:sz w:val="15"/>
          <w:szCs w:val="15"/>
          <w:lang w:val="en-US" w:eastAsia="zh-CN"/>
        </w:rPr>
        <w:t>豫A2289U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