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邓凯</w:t>
      </w:r>
      <w:r>
        <w:rPr>
          <w:rFonts w:hint="eastAsia"/>
          <w:sz w:val="15"/>
          <w:szCs w:val="15"/>
          <w:highlight w:val="none"/>
        </w:rPr>
        <w:t>，</w:t>
      </w:r>
      <w:r>
        <w:rPr>
          <w:rFonts w:hint="eastAsia"/>
          <w:sz w:val="15"/>
          <w:szCs w:val="15"/>
          <w:highlight w:val="none"/>
          <w:lang w:val="en-US" w:eastAsia="zh-CN"/>
        </w:rPr>
        <w:t>412821197806126813</w:t>
      </w:r>
      <w:r>
        <w:rPr>
          <w:rFonts w:hint="eastAsia"/>
          <w:sz w:val="15"/>
          <w:szCs w:val="15"/>
        </w:rPr>
        <w:t xml:space="preserve">  </w:t>
      </w:r>
      <w:r>
        <w:rPr>
          <w:rFonts w:hint="eastAsia"/>
          <w:sz w:val="15"/>
          <w:szCs w:val="15"/>
          <w:lang w:val="en-US" w:eastAsia="zh-CN"/>
        </w:rPr>
        <w:t>豫A7728P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