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刘俊卫</w:t>
      </w:r>
      <w:r>
        <w:rPr>
          <w:rFonts w:hint="eastAsia"/>
          <w:sz w:val="15"/>
          <w:szCs w:val="15"/>
          <w:highlight w:val="none"/>
        </w:rPr>
        <w:t>，</w:t>
      </w:r>
      <w:r>
        <w:rPr>
          <w:rFonts w:hint="eastAsia"/>
          <w:sz w:val="15"/>
          <w:szCs w:val="15"/>
          <w:highlight w:val="none"/>
          <w:lang w:val="en-US" w:eastAsia="zh-CN"/>
        </w:rPr>
        <w:t>410482198109089053</w:t>
      </w:r>
      <w:r>
        <w:rPr>
          <w:rFonts w:hint="eastAsia"/>
          <w:sz w:val="15"/>
          <w:szCs w:val="15"/>
        </w:rPr>
        <w:t xml:space="preserve">  </w:t>
      </w:r>
      <w:r>
        <w:rPr>
          <w:rFonts w:hint="eastAsia"/>
          <w:sz w:val="15"/>
          <w:szCs w:val="15"/>
          <w:lang w:val="en-US" w:eastAsia="zh-CN"/>
        </w:rPr>
        <w:t>豫A8178B</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