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周亮</w:t>
      </w:r>
      <w:r>
        <w:rPr>
          <w:rFonts w:hint="eastAsia"/>
          <w:sz w:val="15"/>
          <w:szCs w:val="15"/>
          <w:highlight w:val="none"/>
        </w:rPr>
        <w:t>，</w:t>
      </w:r>
      <w:r>
        <w:rPr>
          <w:rFonts w:hint="eastAsia"/>
          <w:sz w:val="15"/>
          <w:szCs w:val="15"/>
          <w:highlight w:val="none"/>
          <w:lang w:val="en-US" w:eastAsia="zh-CN"/>
        </w:rPr>
        <w:t>130625198503161638</w:t>
      </w:r>
      <w:r>
        <w:rPr>
          <w:rFonts w:hint="eastAsia"/>
          <w:sz w:val="15"/>
          <w:szCs w:val="15"/>
        </w:rPr>
        <w:t xml:space="preserve">  </w:t>
      </w:r>
      <w:r>
        <w:rPr>
          <w:rFonts w:hint="eastAsia"/>
          <w:sz w:val="15"/>
          <w:szCs w:val="15"/>
          <w:lang w:val="en-US" w:eastAsia="zh-CN"/>
        </w:rPr>
        <w:t>冀FN5955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