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陈亮</w:t>
      </w:r>
      <w:r>
        <w:rPr>
          <w:rFonts w:hint="eastAsia"/>
          <w:sz w:val="15"/>
          <w:szCs w:val="15"/>
          <w:highlight w:val="none"/>
        </w:rPr>
        <w:t>，</w:t>
      </w:r>
      <w:r>
        <w:rPr>
          <w:rFonts w:hint="eastAsia"/>
          <w:sz w:val="15"/>
          <w:szCs w:val="15"/>
          <w:highlight w:val="none"/>
          <w:lang w:val="en-US" w:eastAsia="zh-CN"/>
        </w:rPr>
        <w:t>210105197902034639</w:t>
      </w:r>
      <w:r>
        <w:rPr>
          <w:rFonts w:hint="eastAsia"/>
          <w:sz w:val="15"/>
          <w:szCs w:val="15"/>
        </w:rPr>
        <w:t xml:space="preserve">  </w:t>
      </w:r>
      <w:r>
        <w:rPr>
          <w:rFonts w:hint="eastAsia"/>
          <w:sz w:val="15"/>
          <w:szCs w:val="15"/>
          <w:lang w:val="en-US" w:eastAsia="zh-CN"/>
        </w:rPr>
        <w:t>冀B3937J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