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李建臣</w:t>
      </w:r>
      <w:r>
        <w:rPr>
          <w:rFonts w:hint="eastAsia"/>
          <w:sz w:val="15"/>
          <w:szCs w:val="15"/>
          <w:highlight w:val="none"/>
        </w:rPr>
        <w:t>，</w:t>
      </w:r>
      <w:r>
        <w:rPr>
          <w:rFonts w:hint="eastAsia"/>
          <w:sz w:val="15"/>
          <w:szCs w:val="15"/>
          <w:highlight w:val="none"/>
          <w:lang w:val="en-US" w:eastAsia="zh-CN"/>
        </w:rPr>
        <w:t>132423197101031615</w:t>
      </w:r>
      <w:r>
        <w:rPr>
          <w:rFonts w:hint="eastAsia"/>
          <w:sz w:val="15"/>
          <w:szCs w:val="15"/>
        </w:rPr>
        <w:t xml:space="preserve">  </w:t>
      </w:r>
      <w:r>
        <w:rPr>
          <w:rFonts w:hint="eastAsia"/>
          <w:sz w:val="15"/>
          <w:szCs w:val="15"/>
          <w:lang w:val="en-US" w:eastAsia="zh-CN"/>
        </w:rPr>
        <w:t>冀FX2309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