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李玉娜</w:t>
      </w:r>
      <w:r>
        <w:rPr>
          <w:rFonts w:hint="eastAsia"/>
          <w:sz w:val="15"/>
          <w:szCs w:val="15"/>
          <w:highlight w:val="none"/>
        </w:rPr>
        <w:t>，</w:t>
      </w:r>
      <w:r>
        <w:rPr>
          <w:rFonts w:hint="eastAsia"/>
          <w:sz w:val="15"/>
          <w:szCs w:val="15"/>
          <w:highlight w:val="none"/>
          <w:lang w:val="en-US" w:eastAsia="zh-CN"/>
        </w:rPr>
        <w:t>132626198410215025</w:t>
      </w:r>
      <w:r>
        <w:rPr>
          <w:rFonts w:hint="eastAsia"/>
          <w:sz w:val="15"/>
          <w:szCs w:val="15"/>
        </w:rPr>
        <w:t xml:space="preserve">  </w:t>
      </w:r>
      <w:r>
        <w:rPr>
          <w:rFonts w:hint="eastAsia"/>
          <w:sz w:val="15"/>
          <w:szCs w:val="15"/>
          <w:lang w:val="en-US" w:eastAsia="zh-CN"/>
        </w:rPr>
        <w:t>冀AJ6512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