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3912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蔡佳怡</w:t>
      </w:r>
      <w:r>
        <w:rPr>
          <w:rFonts w:hint="eastAsia"/>
          <w:sz w:val="15"/>
          <w:szCs w:val="15"/>
          <w:highlight w:val="none"/>
        </w:rPr>
        <w:t>，</w:t>
      </w:r>
      <w:r>
        <w:rPr>
          <w:rFonts w:hint="eastAsia"/>
          <w:sz w:val="15"/>
          <w:szCs w:val="15"/>
          <w:highlight w:val="none"/>
          <w:lang w:val="en-US" w:eastAsia="zh-CN"/>
        </w:rPr>
        <w:t>130123200602094549</w:t>
      </w:r>
      <w:r>
        <w:rPr>
          <w:rFonts w:hint="eastAsia"/>
          <w:sz w:val="15"/>
          <w:szCs w:val="15"/>
        </w:rPr>
        <w:t xml:space="preserve">  </w:t>
      </w:r>
      <w:r>
        <w:rPr>
          <w:rFonts w:hint="eastAsia"/>
          <w:sz w:val="15"/>
          <w:szCs w:val="15"/>
          <w:lang w:val="en-US" w:eastAsia="zh-CN"/>
        </w:rPr>
        <w:t>冀A8H284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