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张艳丽</w:t>
      </w:r>
      <w:r>
        <w:rPr>
          <w:rFonts w:hint="eastAsia"/>
          <w:sz w:val="15"/>
          <w:szCs w:val="15"/>
          <w:highlight w:val="none"/>
        </w:rPr>
        <w:t>，</w:t>
      </w:r>
      <w:r>
        <w:rPr>
          <w:rFonts w:hint="eastAsia"/>
          <w:sz w:val="15"/>
          <w:szCs w:val="15"/>
          <w:highlight w:val="none"/>
          <w:lang w:val="en-US" w:eastAsia="zh-CN"/>
        </w:rPr>
        <w:t>130825198309101229</w:t>
      </w:r>
      <w:r>
        <w:rPr>
          <w:rFonts w:hint="eastAsia"/>
          <w:sz w:val="15"/>
          <w:szCs w:val="15"/>
        </w:rPr>
        <w:t xml:space="preserve">  </w:t>
      </w:r>
      <w:r>
        <w:rPr>
          <w:rFonts w:hint="eastAsia"/>
          <w:sz w:val="15"/>
          <w:szCs w:val="15"/>
          <w:lang w:val="en-US" w:eastAsia="zh-CN"/>
        </w:rPr>
        <w:t>冀ALA992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