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赵二翠</w:t>
      </w:r>
      <w:r>
        <w:rPr>
          <w:rFonts w:hint="eastAsia"/>
          <w:sz w:val="15"/>
          <w:szCs w:val="15"/>
          <w:highlight w:val="none"/>
        </w:rPr>
        <w:t>，</w:t>
      </w:r>
      <w:r>
        <w:rPr>
          <w:rFonts w:hint="eastAsia"/>
          <w:sz w:val="15"/>
          <w:szCs w:val="15"/>
          <w:highlight w:val="none"/>
          <w:lang w:val="en-US" w:eastAsia="zh-CN"/>
        </w:rPr>
        <w:t>132335197902271328</w:t>
      </w:r>
      <w:r>
        <w:rPr>
          <w:rFonts w:hint="eastAsia"/>
          <w:sz w:val="15"/>
          <w:szCs w:val="15"/>
        </w:rPr>
        <w:t xml:space="preserve">  </w:t>
      </w:r>
      <w:r>
        <w:rPr>
          <w:rFonts w:hint="eastAsia"/>
          <w:sz w:val="15"/>
          <w:szCs w:val="15"/>
          <w:lang w:val="en-US" w:eastAsia="zh-CN"/>
        </w:rPr>
        <w:t>沪A77688D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