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罗冬梅</w:t>
      </w:r>
      <w:r>
        <w:rPr>
          <w:rFonts w:hint="eastAsia"/>
          <w:sz w:val="15"/>
          <w:szCs w:val="15"/>
          <w:highlight w:val="none"/>
        </w:rPr>
        <w:t>，</w:t>
      </w:r>
      <w:r>
        <w:rPr>
          <w:rFonts w:hint="eastAsia"/>
          <w:sz w:val="15"/>
          <w:szCs w:val="15"/>
          <w:highlight w:val="none"/>
          <w:lang w:val="en-US" w:eastAsia="zh-CN"/>
        </w:rPr>
        <w:t>130131198410052723</w:t>
      </w:r>
      <w:r>
        <w:rPr>
          <w:rFonts w:hint="eastAsia"/>
          <w:sz w:val="15"/>
          <w:szCs w:val="15"/>
        </w:rPr>
        <w:t xml:space="preserve">  </w:t>
      </w:r>
      <w:r>
        <w:rPr>
          <w:rFonts w:hint="eastAsia"/>
          <w:sz w:val="15"/>
          <w:szCs w:val="15"/>
          <w:lang w:val="en-US" w:eastAsia="zh-CN"/>
        </w:rPr>
        <w:t>晋C00250D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