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姜治国</w:t>
      </w:r>
      <w:r>
        <w:rPr>
          <w:rFonts w:hint="eastAsia"/>
          <w:sz w:val="15"/>
          <w:szCs w:val="15"/>
          <w:highlight w:val="none"/>
        </w:rPr>
        <w:t>，</w:t>
      </w:r>
      <w:r>
        <w:rPr>
          <w:rFonts w:hint="eastAsia"/>
          <w:sz w:val="15"/>
          <w:szCs w:val="15"/>
          <w:highlight w:val="none"/>
          <w:lang w:val="en-US" w:eastAsia="zh-CN"/>
        </w:rPr>
        <w:t>142427197712052113</w:t>
      </w:r>
      <w:r>
        <w:rPr>
          <w:rFonts w:hint="eastAsia"/>
          <w:sz w:val="15"/>
          <w:szCs w:val="15"/>
        </w:rPr>
        <w:t xml:space="preserve">  </w:t>
      </w:r>
      <w:r>
        <w:rPr>
          <w:rFonts w:hint="eastAsia"/>
          <w:sz w:val="15"/>
          <w:szCs w:val="15"/>
          <w:lang w:val="en-US" w:eastAsia="zh-CN"/>
        </w:rPr>
        <w:t>晋K09003D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