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刘新宏</w:t>
      </w:r>
      <w:r>
        <w:rPr>
          <w:rFonts w:hint="eastAsia"/>
          <w:sz w:val="15"/>
          <w:szCs w:val="15"/>
          <w:highlight w:val="none"/>
        </w:rPr>
        <w:t>，</w:t>
      </w:r>
      <w:r>
        <w:rPr>
          <w:rFonts w:hint="eastAsia"/>
          <w:sz w:val="15"/>
          <w:szCs w:val="15"/>
          <w:highlight w:val="none"/>
          <w:lang w:val="en-US" w:eastAsia="zh-CN"/>
        </w:rPr>
        <w:t>142427197202012111</w:t>
      </w:r>
      <w:r>
        <w:rPr>
          <w:rFonts w:hint="eastAsia"/>
          <w:sz w:val="15"/>
          <w:szCs w:val="15"/>
        </w:rPr>
        <w:t xml:space="preserve">  </w:t>
      </w:r>
      <w:r>
        <w:rPr>
          <w:rFonts w:hint="eastAsia"/>
          <w:sz w:val="15"/>
          <w:szCs w:val="15"/>
          <w:lang w:val="en-US" w:eastAsia="zh-CN"/>
        </w:rPr>
        <w:t>沪A85699D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