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代佳佳</w:t>
      </w:r>
      <w:r>
        <w:rPr>
          <w:rFonts w:hint="eastAsia"/>
          <w:sz w:val="15"/>
          <w:szCs w:val="15"/>
          <w:highlight w:val="none"/>
        </w:rPr>
        <w:t>，</w:t>
      </w:r>
      <w:r>
        <w:rPr>
          <w:rFonts w:hint="eastAsia"/>
          <w:sz w:val="15"/>
          <w:szCs w:val="15"/>
          <w:highlight w:val="none"/>
          <w:lang w:val="en-US" w:eastAsia="zh-CN"/>
        </w:rPr>
        <w:t>140322198410180318</w:t>
      </w:r>
      <w:r>
        <w:rPr>
          <w:rFonts w:hint="eastAsia"/>
          <w:sz w:val="15"/>
          <w:szCs w:val="15"/>
        </w:rPr>
        <w:t xml:space="preserve">  </w:t>
      </w:r>
      <w:r>
        <w:rPr>
          <w:rFonts w:hint="eastAsia"/>
          <w:sz w:val="15"/>
          <w:szCs w:val="15"/>
          <w:lang w:val="en-US" w:eastAsia="zh-CN"/>
        </w:rPr>
        <w:t>冀AL4682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