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于艳霞</w:t>
      </w:r>
      <w:r>
        <w:rPr>
          <w:rFonts w:hint="eastAsia"/>
          <w:sz w:val="15"/>
          <w:szCs w:val="15"/>
          <w:highlight w:val="none"/>
        </w:rPr>
        <w:t>，</w:t>
      </w:r>
      <w:r>
        <w:rPr>
          <w:rFonts w:hint="eastAsia"/>
          <w:sz w:val="15"/>
          <w:szCs w:val="15"/>
          <w:highlight w:val="none"/>
          <w:lang w:val="en-US" w:eastAsia="zh-CN"/>
        </w:rPr>
        <w:t>210303197504270642</w:t>
      </w:r>
      <w:r>
        <w:rPr>
          <w:rFonts w:hint="eastAsia"/>
          <w:sz w:val="15"/>
          <w:szCs w:val="15"/>
        </w:rPr>
        <w:t xml:space="preserve">  </w:t>
      </w:r>
      <w:r>
        <w:rPr>
          <w:rFonts w:hint="eastAsia"/>
          <w:sz w:val="15"/>
          <w:szCs w:val="15"/>
          <w:lang w:val="en-US" w:eastAsia="zh-CN"/>
        </w:rPr>
        <w:t>辽CG7701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