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邢静龙</w:t>
      </w:r>
      <w:r>
        <w:rPr>
          <w:rFonts w:hint="eastAsia"/>
          <w:sz w:val="15"/>
          <w:szCs w:val="15"/>
          <w:highlight w:val="none"/>
        </w:rPr>
        <w:t>，</w:t>
      </w:r>
      <w:r>
        <w:rPr>
          <w:rFonts w:hint="eastAsia"/>
          <w:sz w:val="15"/>
          <w:szCs w:val="15"/>
          <w:highlight w:val="none"/>
          <w:lang w:val="en-US" w:eastAsia="zh-CN"/>
        </w:rPr>
        <w:t>130131198812090036</w:t>
      </w:r>
      <w:r>
        <w:rPr>
          <w:rFonts w:hint="eastAsia"/>
          <w:sz w:val="15"/>
          <w:szCs w:val="15"/>
        </w:rPr>
        <w:t xml:space="preserve">  </w:t>
      </w:r>
      <w:r>
        <w:rPr>
          <w:rFonts w:hint="eastAsia"/>
          <w:sz w:val="15"/>
          <w:szCs w:val="15"/>
          <w:lang w:val="en-US" w:eastAsia="zh-CN"/>
        </w:rPr>
        <w:t>冀A33249D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