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冯彦凯</w:t>
      </w:r>
      <w:r>
        <w:rPr>
          <w:rFonts w:hint="eastAsia"/>
          <w:sz w:val="15"/>
          <w:szCs w:val="15"/>
          <w:highlight w:val="none"/>
        </w:rPr>
        <w:t>，</w:t>
      </w:r>
      <w:r>
        <w:rPr>
          <w:rFonts w:hint="eastAsia"/>
          <w:sz w:val="15"/>
          <w:szCs w:val="15"/>
          <w:highlight w:val="none"/>
          <w:lang w:val="en-US" w:eastAsia="zh-CN"/>
        </w:rPr>
        <w:t>130121198404162616</w:t>
      </w:r>
      <w:r>
        <w:rPr>
          <w:rFonts w:hint="eastAsia"/>
          <w:sz w:val="15"/>
          <w:szCs w:val="15"/>
        </w:rPr>
        <w:t xml:space="preserve">  </w:t>
      </w:r>
      <w:r>
        <w:rPr>
          <w:rFonts w:hint="eastAsia"/>
          <w:sz w:val="15"/>
          <w:szCs w:val="15"/>
          <w:lang w:val="en-US" w:eastAsia="zh-CN"/>
        </w:rPr>
        <w:t>沪A29606A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