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邵春青</w:t>
      </w:r>
      <w:r>
        <w:rPr>
          <w:rFonts w:hint="eastAsia"/>
          <w:sz w:val="15"/>
          <w:szCs w:val="15"/>
          <w:highlight w:val="none"/>
        </w:rPr>
        <w:t>，</w:t>
      </w:r>
      <w:r>
        <w:rPr>
          <w:rFonts w:hint="eastAsia"/>
          <w:sz w:val="15"/>
          <w:szCs w:val="15"/>
          <w:highlight w:val="none"/>
          <w:lang w:val="en-US" w:eastAsia="zh-CN"/>
        </w:rPr>
        <w:t>130925198301285145</w:t>
      </w:r>
      <w:r>
        <w:rPr>
          <w:rFonts w:hint="eastAsia"/>
          <w:sz w:val="15"/>
          <w:szCs w:val="15"/>
        </w:rPr>
        <w:t xml:space="preserve">  </w:t>
      </w:r>
      <w:r>
        <w:rPr>
          <w:rFonts w:hint="eastAsia"/>
          <w:sz w:val="15"/>
          <w:szCs w:val="15"/>
          <w:lang w:val="en-US" w:eastAsia="zh-CN"/>
        </w:rPr>
        <w:t>冀J06763D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