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3883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张文聪</w:t>
      </w:r>
      <w:r>
        <w:rPr>
          <w:rFonts w:hint="eastAsia"/>
          <w:sz w:val="15"/>
          <w:szCs w:val="15"/>
          <w:highlight w:val="none"/>
        </w:rPr>
        <w:t>，</w:t>
      </w:r>
      <w:r>
        <w:rPr>
          <w:rFonts w:hint="eastAsia"/>
          <w:sz w:val="15"/>
          <w:szCs w:val="15"/>
          <w:highlight w:val="none"/>
          <w:lang w:val="en-US" w:eastAsia="zh-CN"/>
        </w:rPr>
        <w:t>130185198704061317</w:t>
      </w:r>
      <w:r>
        <w:rPr>
          <w:rFonts w:hint="eastAsia"/>
          <w:sz w:val="15"/>
          <w:szCs w:val="15"/>
        </w:rPr>
        <w:t xml:space="preserve">  </w:t>
      </w:r>
      <w:r>
        <w:rPr>
          <w:rFonts w:hint="eastAsia"/>
          <w:sz w:val="15"/>
          <w:szCs w:val="15"/>
          <w:lang w:val="en-US" w:eastAsia="zh-CN"/>
        </w:rPr>
        <w:t>沪A12291A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