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邢进波</w:t>
      </w:r>
      <w:r>
        <w:rPr>
          <w:rFonts w:hint="eastAsia"/>
          <w:sz w:val="15"/>
          <w:szCs w:val="15"/>
          <w:highlight w:val="none"/>
        </w:rPr>
        <w:t>，</w:t>
      </w:r>
      <w:r>
        <w:rPr>
          <w:rFonts w:hint="eastAsia"/>
          <w:sz w:val="15"/>
          <w:szCs w:val="15"/>
          <w:highlight w:val="none"/>
          <w:lang w:val="en-US" w:eastAsia="zh-CN"/>
        </w:rPr>
        <w:t>130131198409160030</w:t>
      </w:r>
      <w:r>
        <w:rPr>
          <w:rFonts w:hint="eastAsia"/>
          <w:sz w:val="15"/>
          <w:szCs w:val="15"/>
        </w:rPr>
        <w:t xml:space="preserve">  </w:t>
      </w:r>
      <w:r>
        <w:rPr>
          <w:rFonts w:hint="eastAsia"/>
          <w:sz w:val="15"/>
          <w:szCs w:val="15"/>
          <w:lang w:val="en-US" w:eastAsia="zh-CN"/>
        </w:rPr>
        <w:t>冀A360X9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