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仲苓伟</w:t>
      </w:r>
      <w:r>
        <w:rPr>
          <w:rFonts w:hint="eastAsia"/>
          <w:sz w:val="15"/>
          <w:szCs w:val="15"/>
          <w:highlight w:val="none"/>
        </w:rPr>
        <w:t>，</w:t>
      </w:r>
      <w:r>
        <w:rPr>
          <w:rFonts w:hint="eastAsia"/>
          <w:sz w:val="15"/>
          <w:szCs w:val="15"/>
          <w:highlight w:val="none"/>
          <w:lang w:val="en-US" w:eastAsia="zh-CN"/>
        </w:rPr>
        <w:t>130929198205012601</w:t>
      </w:r>
      <w:r>
        <w:rPr>
          <w:rFonts w:hint="eastAsia"/>
          <w:sz w:val="15"/>
          <w:szCs w:val="15"/>
        </w:rPr>
        <w:t xml:space="preserve">  </w:t>
      </w:r>
      <w:r>
        <w:rPr>
          <w:rFonts w:hint="eastAsia"/>
          <w:sz w:val="15"/>
          <w:szCs w:val="15"/>
          <w:lang w:val="en-US" w:eastAsia="zh-CN"/>
        </w:rPr>
        <w:t>冀J3J708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