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仇志霞</w:t>
      </w:r>
      <w:r>
        <w:rPr>
          <w:rFonts w:hint="eastAsia"/>
          <w:sz w:val="15"/>
          <w:szCs w:val="15"/>
          <w:highlight w:val="none"/>
        </w:rPr>
        <w:t>，</w:t>
      </w:r>
      <w:r>
        <w:rPr>
          <w:rFonts w:hint="eastAsia"/>
          <w:sz w:val="15"/>
          <w:szCs w:val="15"/>
          <w:highlight w:val="none"/>
          <w:lang w:val="en-US" w:eastAsia="zh-CN"/>
        </w:rPr>
        <w:t>130131199401201226</w:t>
      </w:r>
      <w:r>
        <w:rPr>
          <w:rFonts w:hint="eastAsia"/>
          <w:sz w:val="15"/>
          <w:szCs w:val="15"/>
        </w:rPr>
        <w:t xml:space="preserve">  </w:t>
      </w:r>
      <w:r>
        <w:rPr>
          <w:rFonts w:hint="eastAsia"/>
          <w:sz w:val="15"/>
          <w:szCs w:val="15"/>
          <w:lang w:val="en-US" w:eastAsia="zh-CN"/>
        </w:rPr>
        <w:t>冀ARN466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