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尹冬梅</w:t>
      </w:r>
      <w:r>
        <w:rPr>
          <w:rFonts w:hint="eastAsia"/>
          <w:sz w:val="15"/>
          <w:szCs w:val="15"/>
          <w:highlight w:val="none"/>
        </w:rPr>
        <w:t>，</w:t>
      </w:r>
      <w:r>
        <w:rPr>
          <w:rFonts w:hint="eastAsia"/>
          <w:sz w:val="15"/>
          <w:szCs w:val="15"/>
          <w:highlight w:val="none"/>
          <w:lang w:val="en-US" w:eastAsia="zh-CN"/>
        </w:rPr>
        <w:t>132201198508261864</w:t>
      </w:r>
      <w:r>
        <w:rPr>
          <w:rFonts w:hint="eastAsia"/>
          <w:sz w:val="15"/>
          <w:szCs w:val="15"/>
        </w:rPr>
        <w:t xml:space="preserve">  </w:t>
      </w:r>
      <w:r>
        <w:rPr>
          <w:rFonts w:hint="eastAsia"/>
          <w:sz w:val="15"/>
          <w:szCs w:val="15"/>
          <w:lang w:val="en-US" w:eastAsia="zh-CN"/>
        </w:rPr>
        <w:t>冀EU2022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