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陈晓</w:t>
      </w:r>
      <w:r>
        <w:rPr>
          <w:rFonts w:hint="eastAsia"/>
          <w:sz w:val="15"/>
          <w:szCs w:val="15"/>
          <w:highlight w:val="none"/>
        </w:rPr>
        <w:t>，</w:t>
      </w:r>
      <w:r>
        <w:rPr>
          <w:rFonts w:hint="eastAsia"/>
          <w:sz w:val="15"/>
          <w:szCs w:val="15"/>
          <w:highlight w:val="none"/>
          <w:lang w:val="en-US" w:eastAsia="zh-CN"/>
        </w:rPr>
        <w:t>210682198606300837</w:t>
      </w:r>
      <w:r>
        <w:rPr>
          <w:rFonts w:hint="eastAsia"/>
          <w:sz w:val="15"/>
          <w:szCs w:val="15"/>
        </w:rPr>
        <w:t xml:space="preserve">  </w:t>
      </w:r>
      <w:r>
        <w:rPr>
          <w:rFonts w:hint="eastAsia"/>
          <w:sz w:val="15"/>
          <w:szCs w:val="15"/>
          <w:lang w:val="en-US" w:eastAsia="zh-CN"/>
        </w:rPr>
        <w:t>辽AGD676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