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李万隆</w:t>
      </w:r>
      <w:r>
        <w:rPr>
          <w:rFonts w:hint="eastAsia"/>
          <w:sz w:val="15"/>
          <w:szCs w:val="15"/>
          <w:highlight w:val="none"/>
        </w:rPr>
        <w:t>，</w:t>
      </w:r>
      <w:r>
        <w:rPr>
          <w:rFonts w:hint="eastAsia"/>
          <w:sz w:val="15"/>
          <w:szCs w:val="15"/>
          <w:highlight w:val="none"/>
          <w:lang w:val="en-US" w:eastAsia="zh-CN"/>
        </w:rPr>
        <w:t>130121198607041013</w:t>
      </w:r>
      <w:r>
        <w:rPr>
          <w:rFonts w:hint="eastAsia"/>
          <w:sz w:val="15"/>
          <w:szCs w:val="15"/>
        </w:rPr>
        <w:t xml:space="preserve">  </w:t>
      </w:r>
      <w:r>
        <w:rPr>
          <w:rFonts w:hint="eastAsia"/>
          <w:sz w:val="15"/>
          <w:szCs w:val="15"/>
          <w:lang w:val="en-US" w:eastAsia="zh-CN"/>
        </w:rPr>
        <w:t>冀ACE023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