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3857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杨玉龙</w:t>
      </w:r>
      <w:r>
        <w:rPr>
          <w:rFonts w:hint="eastAsia"/>
          <w:sz w:val="15"/>
          <w:szCs w:val="15"/>
          <w:highlight w:val="none"/>
        </w:rPr>
        <w:t>，</w:t>
      </w:r>
      <w:r>
        <w:rPr>
          <w:rFonts w:hint="eastAsia"/>
          <w:sz w:val="15"/>
          <w:szCs w:val="15"/>
          <w:highlight w:val="none"/>
          <w:lang w:val="en-US" w:eastAsia="zh-CN"/>
        </w:rPr>
        <w:t>130121198108172617</w:t>
      </w:r>
      <w:r>
        <w:rPr>
          <w:rFonts w:hint="eastAsia"/>
          <w:sz w:val="15"/>
          <w:szCs w:val="15"/>
        </w:rPr>
        <w:t xml:space="preserve">  </w:t>
      </w:r>
      <w:r>
        <w:rPr>
          <w:rFonts w:hint="eastAsia"/>
          <w:sz w:val="15"/>
          <w:szCs w:val="15"/>
          <w:lang w:val="en-US" w:eastAsia="zh-CN"/>
        </w:rPr>
        <w:t>冀A876AN</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