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石桂萍</w:t>
      </w:r>
      <w:r>
        <w:rPr>
          <w:rFonts w:hint="eastAsia"/>
          <w:sz w:val="15"/>
          <w:szCs w:val="15"/>
          <w:highlight w:val="none"/>
        </w:rPr>
        <w:t>，</w:t>
      </w:r>
      <w:r>
        <w:rPr>
          <w:rFonts w:hint="eastAsia"/>
          <w:sz w:val="15"/>
          <w:szCs w:val="15"/>
          <w:highlight w:val="none"/>
          <w:lang w:val="en-US" w:eastAsia="zh-CN"/>
        </w:rPr>
        <w:t>131128199102083664</w:t>
      </w:r>
      <w:r>
        <w:rPr>
          <w:rFonts w:hint="eastAsia"/>
          <w:sz w:val="15"/>
          <w:szCs w:val="15"/>
        </w:rPr>
        <w:t xml:space="preserve">  </w:t>
      </w:r>
      <w:r>
        <w:rPr>
          <w:rFonts w:hint="eastAsia"/>
          <w:sz w:val="15"/>
          <w:szCs w:val="15"/>
          <w:lang w:val="en-US" w:eastAsia="zh-CN"/>
        </w:rPr>
        <w:t>冀TR7859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