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w:t>
      </w:r>
      <w:r>
        <w:rPr>
          <w:rFonts w:hint="eastAsia"/>
          <w:sz w:val="15"/>
          <w:szCs w:val="15"/>
          <w:highlight w:val="none"/>
        </w:rPr>
        <w:t>，</w:t>
      </w:r>
      <w:r>
        <w:rPr>
          <w:rFonts w:hint="eastAsia"/>
          <w:sz w:val="15"/>
          <w:szCs w:val="15"/>
          <w:highlight w:val="none"/>
          <w:lang w:val="en-US" w:eastAsia="zh-CN"/>
        </w:rPr>
        <w:t>132337198104153754</w:t>
      </w:r>
      <w:r>
        <w:rPr>
          <w:rFonts w:hint="eastAsia"/>
          <w:sz w:val="15"/>
          <w:szCs w:val="15"/>
        </w:rPr>
        <w:t xml:space="preserve">  </w:t>
      </w:r>
      <w:r>
        <w:rPr>
          <w:rFonts w:hint="eastAsia"/>
          <w:sz w:val="15"/>
          <w:szCs w:val="15"/>
          <w:lang w:val="en-US" w:eastAsia="zh-CN"/>
        </w:rPr>
        <w:t>冀A92485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