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梁志超</w:t>
      </w:r>
      <w:r>
        <w:rPr>
          <w:rFonts w:hint="eastAsia"/>
          <w:sz w:val="15"/>
          <w:szCs w:val="15"/>
          <w:highlight w:val="none"/>
        </w:rPr>
        <w:t>，</w:t>
      </w:r>
      <w:r>
        <w:rPr>
          <w:rFonts w:hint="eastAsia"/>
          <w:sz w:val="15"/>
          <w:szCs w:val="15"/>
          <w:highlight w:val="none"/>
          <w:lang w:val="en-US" w:eastAsia="zh-CN"/>
        </w:rPr>
        <w:t>13012119940413103X</w:t>
      </w:r>
      <w:r>
        <w:rPr>
          <w:rFonts w:hint="eastAsia"/>
          <w:sz w:val="15"/>
          <w:szCs w:val="15"/>
        </w:rPr>
        <w:t xml:space="preserve">  </w:t>
      </w:r>
      <w:r>
        <w:rPr>
          <w:rFonts w:hint="eastAsia"/>
          <w:sz w:val="15"/>
          <w:szCs w:val="15"/>
          <w:lang w:val="en-US" w:eastAsia="zh-CN"/>
        </w:rPr>
        <w:t>冀A39619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