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霍彦玲</w:t>
      </w:r>
      <w:r>
        <w:rPr>
          <w:rFonts w:hint="eastAsia"/>
          <w:sz w:val="15"/>
          <w:szCs w:val="15"/>
          <w:highlight w:val="none"/>
        </w:rPr>
        <w:t>，</w:t>
      </w:r>
      <w:r>
        <w:rPr>
          <w:rFonts w:hint="eastAsia"/>
          <w:sz w:val="15"/>
          <w:szCs w:val="15"/>
          <w:highlight w:val="none"/>
          <w:lang w:val="en-US" w:eastAsia="zh-CN"/>
        </w:rPr>
        <w:t>132337197810022781</w:t>
      </w:r>
      <w:r>
        <w:rPr>
          <w:rFonts w:hint="eastAsia"/>
          <w:sz w:val="15"/>
          <w:szCs w:val="15"/>
        </w:rPr>
        <w:t xml:space="preserve">  </w:t>
      </w:r>
      <w:r>
        <w:rPr>
          <w:rFonts w:hint="eastAsia"/>
          <w:sz w:val="15"/>
          <w:szCs w:val="15"/>
          <w:lang w:val="en-US" w:eastAsia="zh-CN"/>
        </w:rPr>
        <w:t>冀A230HA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