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许建刚</w:t>
      </w:r>
      <w:r>
        <w:rPr>
          <w:rFonts w:hint="eastAsia"/>
          <w:sz w:val="15"/>
          <w:szCs w:val="15"/>
          <w:highlight w:val="none"/>
        </w:rPr>
        <w:t>，</w:t>
      </w:r>
      <w:r>
        <w:rPr>
          <w:rFonts w:hint="eastAsia"/>
          <w:sz w:val="15"/>
          <w:szCs w:val="15"/>
          <w:highlight w:val="none"/>
          <w:lang w:val="en-US" w:eastAsia="zh-CN"/>
        </w:rPr>
        <w:t>133030197405107271</w:t>
      </w:r>
      <w:r>
        <w:rPr>
          <w:rFonts w:hint="eastAsia"/>
          <w:sz w:val="15"/>
          <w:szCs w:val="15"/>
        </w:rPr>
        <w:t xml:space="preserve">  </w:t>
      </w:r>
      <w:r>
        <w:rPr>
          <w:rFonts w:hint="eastAsia"/>
          <w:sz w:val="15"/>
          <w:szCs w:val="15"/>
          <w:lang w:val="en-US" w:eastAsia="zh-CN"/>
        </w:rPr>
        <w:t>冀J1Z161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