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张勇</w:t>
      </w:r>
      <w:r>
        <w:rPr>
          <w:rFonts w:hint="eastAsia"/>
          <w:sz w:val="15"/>
          <w:szCs w:val="15"/>
          <w:highlight w:val="none"/>
        </w:rPr>
        <w:t>，</w:t>
      </w:r>
      <w:r>
        <w:rPr>
          <w:rFonts w:hint="eastAsia"/>
          <w:sz w:val="15"/>
          <w:szCs w:val="15"/>
          <w:highlight w:val="none"/>
          <w:lang w:val="en-US" w:eastAsia="zh-CN"/>
        </w:rPr>
        <w:t>131127198212104357</w:t>
      </w:r>
      <w:r>
        <w:rPr>
          <w:rFonts w:hint="eastAsia"/>
          <w:sz w:val="15"/>
          <w:szCs w:val="15"/>
        </w:rPr>
        <w:t xml:space="preserve">  </w:t>
      </w:r>
      <w:r>
        <w:rPr>
          <w:rFonts w:hint="eastAsia"/>
          <w:sz w:val="15"/>
          <w:szCs w:val="15"/>
          <w:lang w:val="en-US" w:eastAsia="zh-CN"/>
        </w:rPr>
        <w:t>冀J1Q799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