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姚扬扬</w:t>
      </w:r>
      <w:r>
        <w:rPr>
          <w:rFonts w:hint="eastAsia"/>
          <w:sz w:val="15"/>
          <w:szCs w:val="15"/>
          <w:highlight w:val="none"/>
        </w:rPr>
        <w:t>，</w:t>
      </w:r>
      <w:r>
        <w:rPr>
          <w:rFonts w:hint="eastAsia"/>
          <w:sz w:val="15"/>
          <w:szCs w:val="15"/>
          <w:highlight w:val="none"/>
          <w:lang w:val="en-US" w:eastAsia="zh-CN"/>
        </w:rPr>
        <w:t>131128198903200619</w:t>
      </w:r>
      <w:r>
        <w:rPr>
          <w:rFonts w:hint="eastAsia"/>
          <w:sz w:val="15"/>
          <w:szCs w:val="15"/>
        </w:rPr>
        <w:t xml:space="preserve">  </w:t>
      </w:r>
      <w:r>
        <w:rPr>
          <w:rFonts w:hint="eastAsia"/>
          <w:sz w:val="15"/>
          <w:szCs w:val="15"/>
          <w:lang w:val="en-US" w:eastAsia="zh-CN"/>
        </w:rPr>
        <w:t>冀TN1291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