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袁福华</w:t>
      </w:r>
      <w:r>
        <w:rPr>
          <w:rFonts w:hint="eastAsia"/>
          <w:sz w:val="15"/>
          <w:szCs w:val="15"/>
          <w:highlight w:val="none"/>
        </w:rPr>
        <w:t>，</w:t>
      </w:r>
      <w:r>
        <w:rPr>
          <w:rFonts w:hint="eastAsia"/>
          <w:sz w:val="15"/>
          <w:szCs w:val="15"/>
          <w:highlight w:val="none"/>
          <w:lang w:val="en-US" w:eastAsia="zh-CN"/>
        </w:rPr>
        <w:t>133029196810271518</w:t>
      </w:r>
      <w:r>
        <w:rPr>
          <w:rFonts w:hint="eastAsia"/>
          <w:sz w:val="15"/>
          <w:szCs w:val="15"/>
        </w:rPr>
        <w:t xml:space="preserve">  </w:t>
      </w:r>
      <w:r>
        <w:rPr>
          <w:rFonts w:hint="eastAsia"/>
          <w:sz w:val="15"/>
          <w:szCs w:val="15"/>
          <w:lang w:val="en-US" w:eastAsia="zh-CN"/>
        </w:rPr>
        <w:t>冀T89262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