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蔡铁龙</w:t>
      </w:r>
      <w:r>
        <w:rPr>
          <w:rFonts w:hint="eastAsia"/>
          <w:sz w:val="15"/>
          <w:szCs w:val="15"/>
          <w:highlight w:val="none"/>
        </w:rPr>
        <w:t>，</w:t>
      </w:r>
      <w:r>
        <w:rPr>
          <w:rFonts w:hint="eastAsia"/>
          <w:sz w:val="15"/>
          <w:szCs w:val="15"/>
          <w:highlight w:val="none"/>
          <w:lang w:val="en-US" w:eastAsia="zh-CN"/>
        </w:rPr>
        <w:t>131128199309220611</w:t>
      </w:r>
      <w:r>
        <w:rPr>
          <w:rFonts w:hint="eastAsia"/>
          <w:sz w:val="15"/>
          <w:szCs w:val="15"/>
        </w:rPr>
        <w:t xml:space="preserve">  </w:t>
      </w:r>
      <w:r>
        <w:rPr>
          <w:rFonts w:hint="eastAsia"/>
          <w:sz w:val="15"/>
          <w:szCs w:val="15"/>
          <w:lang w:val="en-US" w:eastAsia="zh-CN"/>
        </w:rPr>
        <w:t>冀J8Q583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