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吉祥</w:t>
      </w:r>
      <w:r>
        <w:rPr>
          <w:rFonts w:hint="eastAsia"/>
          <w:sz w:val="15"/>
          <w:szCs w:val="15"/>
          <w:highlight w:val="none"/>
        </w:rPr>
        <w:t>，</w:t>
      </w:r>
      <w:r>
        <w:rPr>
          <w:rFonts w:hint="eastAsia"/>
          <w:sz w:val="15"/>
          <w:szCs w:val="15"/>
          <w:highlight w:val="none"/>
          <w:lang w:val="en-US" w:eastAsia="zh-CN"/>
        </w:rPr>
        <w:t>131123198701100335</w:t>
      </w:r>
      <w:r>
        <w:rPr>
          <w:rFonts w:hint="eastAsia"/>
          <w:sz w:val="15"/>
          <w:szCs w:val="15"/>
        </w:rPr>
        <w:t xml:space="preserve">  </w:t>
      </w:r>
      <w:r>
        <w:rPr>
          <w:rFonts w:hint="eastAsia"/>
          <w:sz w:val="15"/>
          <w:szCs w:val="15"/>
          <w:lang w:val="en-US" w:eastAsia="zh-CN"/>
        </w:rPr>
        <w:t>冀J8E276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