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刘晓庆</w:t>
      </w:r>
      <w:r>
        <w:rPr>
          <w:rFonts w:hint="eastAsia"/>
          <w:sz w:val="15"/>
          <w:szCs w:val="15"/>
          <w:highlight w:val="none"/>
        </w:rPr>
        <w:t>，</w:t>
      </w:r>
      <w:r>
        <w:rPr>
          <w:rFonts w:hint="eastAsia"/>
          <w:sz w:val="15"/>
          <w:szCs w:val="15"/>
          <w:highlight w:val="none"/>
          <w:lang w:val="en-US" w:eastAsia="zh-CN"/>
        </w:rPr>
        <w:t>131128199202161279</w:t>
      </w:r>
      <w:r>
        <w:rPr>
          <w:rFonts w:hint="eastAsia"/>
          <w:sz w:val="15"/>
          <w:szCs w:val="15"/>
        </w:rPr>
        <w:t xml:space="preserve">  </w:t>
      </w:r>
      <w:r>
        <w:rPr>
          <w:rFonts w:hint="eastAsia"/>
          <w:sz w:val="15"/>
          <w:szCs w:val="15"/>
          <w:lang w:val="en-US" w:eastAsia="zh-CN"/>
        </w:rPr>
        <w:t>冀J9V522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