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高延勇</w:t>
      </w:r>
      <w:r>
        <w:rPr>
          <w:rFonts w:hint="eastAsia"/>
          <w:sz w:val="15"/>
          <w:szCs w:val="15"/>
          <w:highlight w:val="none"/>
        </w:rPr>
        <w:t>，</w:t>
      </w:r>
      <w:r>
        <w:rPr>
          <w:rFonts w:hint="eastAsia"/>
          <w:sz w:val="15"/>
          <w:szCs w:val="15"/>
          <w:highlight w:val="none"/>
          <w:lang w:val="en-US" w:eastAsia="zh-CN"/>
        </w:rPr>
        <w:t>133030197303204679</w:t>
      </w:r>
      <w:r>
        <w:rPr>
          <w:rFonts w:hint="eastAsia"/>
          <w:sz w:val="15"/>
          <w:szCs w:val="15"/>
        </w:rPr>
        <w:t xml:space="preserve">  </w:t>
      </w:r>
      <w:r>
        <w:rPr>
          <w:rFonts w:hint="eastAsia"/>
          <w:sz w:val="15"/>
          <w:szCs w:val="15"/>
          <w:lang w:val="en-US" w:eastAsia="zh-CN"/>
        </w:rPr>
        <w:t>冀J6X773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