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王锁柱</w:t>
      </w:r>
      <w:r>
        <w:rPr>
          <w:rFonts w:hint="eastAsia"/>
          <w:sz w:val="15"/>
          <w:szCs w:val="15"/>
          <w:highlight w:val="none"/>
        </w:rPr>
        <w:t>，</w:t>
      </w:r>
      <w:r>
        <w:rPr>
          <w:rFonts w:hint="eastAsia"/>
          <w:sz w:val="15"/>
          <w:szCs w:val="15"/>
          <w:highlight w:val="none"/>
          <w:lang w:val="en-US" w:eastAsia="zh-CN"/>
        </w:rPr>
        <w:t>133031196705203611</w:t>
      </w:r>
      <w:r>
        <w:rPr>
          <w:rFonts w:hint="eastAsia"/>
          <w:sz w:val="15"/>
          <w:szCs w:val="15"/>
        </w:rPr>
        <w:t xml:space="preserve">  </w:t>
      </w:r>
      <w:r>
        <w:rPr>
          <w:rFonts w:hint="eastAsia"/>
          <w:sz w:val="15"/>
          <w:szCs w:val="15"/>
          <w:lang w:val="en-US" w:eastAsia="zh-CN"/>
        </w:rPr>
        <w:t>冀RP2069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