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焦尚乐</w:t>
      </w:r>
      <w:r>
        <w:rPr>
          <w:rFonts w:hint="eastAsia"/>
          <w:sz w:val="15"/>
          <w:szCs w:val="15"/>
          <w:highlight w:val="none"/>
        </w:rPr>
        <w:t>，</w:t>
      </w:r>
      <w:r>
        <w:rPr>
          <w:rFonts w:hint="eastAsia"/>
          <w:sz w:val="15"/>
          <w:szCs w:val="15"/>
          <w:highlight w:val="none"/>
          <w:lang w:val="en-US" w:eastAsia="zh-CN"/>
        </w:rPr>
        <w:t>131128198407090617</w:t>
      </w:r>
      <w:r>
        <w:rPr>
          <w:rFonts w:hint="eastAsia"/>
          <w:sz w:val="15"/>
          <w:szCs w:val="15"/>
        </w:rPr>
        <w:t xml:space="preserve">  </w:t>
      </w:r>
      <w:r>
        <w:rPr>
          <w:rFonts w:hint="eastAsia"/>
          <w:sz w:val="15"/>
          <w:szCs w:val="15"/>
          <w:lang w:val="en-US" w:eastAsia="zh-CN"/>
        </w:rPr>
        <w:t>冀TW1993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