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习立立</w:t>
      </w:r>
      <w:r>
        <w:rPr>
          <w:rFonts w:hint="eastAsia"/>
          <w:sz w:val="15"/>
          <w:szCs w:val="15"/>
          <w:highlight w:val="none"/>
        </w:rPr>
        <w:t>，</w:t>
      </w:r>
      <w:r>
        <w:rPr>
          <w:rFonts w:hint="eastAsia"/>
          <w:sz w:val="15"/>
          <w:szCs w:val="15"/>
          <w:highlight w:val="none"/>
          <w:lang w:val="en-US" w:eastAsia="zh-CN"/>
        </w:rPr>
        <w:t>130125198212264533</w:t>
      </w:r>
      <w:r>
        <w:rPr>
          <w:rFonts w:hint="eastAsia"/>
          <w:sz w:val="15"/>
          <w:szCs w:val="15"/>
        </w:rPr>
        <w:t xml:space="preserve">  </w:t>
      </w:r>
      <w:r>
        <w:rPr>
          <w:rFonts w:hint="eastAsia"/>
          <w:sz w:val="15"/>
          <w:szCs w:val="15"/>
          <w:lang w:val="en-US" w:eastAsia="zh-CN"/>
        </w:rPr>
        <w:t>冀A3438B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