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陈文军</w:t>
      </w:r>
      <w:r>
        <w:rPr>
          <w:rFonts w:hint="eastAsia"/>
          <w:sz w:val="15"/>
          <w:szCs w:val="15"/>
          <w:highlight w:val="none"/>
        </w:rPr>
        <w:t>，</w:t>
      </w:r>
      <w:r>
        <w:rPr>
          <w:rFonts w:hint="eastAsia"/>
          <w:sz w:val="15"/>
          <w:szCs w:val="15"/>
          <w:highlight w:val="none"/>
          <w:lang w:val="en-US" w:eastAsia="zh-CN"/>
        </w:rPr>
        <w:t>131122199704122212</w:t>
      </w:r>
      <w:r>
        <w:rPr>
          <w:rFonts w:hint="eastAsia"/>
          <w:sz w:val="15"/>
          <w:szCs w:val="15"/>
        </w:rPr>
        <w:t xml:space="preserve">  </w:t>
      </w:r>
      <w:r>
        <w:rPr>
          <w:rFonts w:hint="eastAsia"/>
          <w:sz w:val="15"/>
          <w:szCs w:val="15"/>
          <w:lang w:val="en-US" w:eastAsia="zh-CN"/>
        </w:rPr>
        <w:t>冀J1V756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