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史书迁</w:t>
      </w:r>
      <w:r>
        <w:rPr>
          <w:rFonts w:hint="eastAsia"/>
          <w:sz w:val="15"/>
          <w:szCs w:val="15"/>
          <w:highlight w:val="none"/>
        </w:rPr>
        <w:t>，</w:t>
      </w:r>
      <w:r>
        <w:rPr>
          <w:rFonts w:hint="eastAsia"/>
          <w:sz w:val="15"/>
          <w:szCs w:val="15"/>
          <w:highlight w:val="none"/>
          <w:lang w:val="en-US" w:eastAsia="zh-CN"/>
        </w:rPr>
        <w:t>13303119780213005X</w:t>
      </w:r>
      <w:r>
        <w:rPr>
          <w:rFonts w:hint="eastAsia"/>
          <w:sz w:val="15"/>
          <w:szCs w:val="15"/>
        </w:rPr>
        <w:t xml:space="preserve">  </w:t>
      </w:r>
      <w:r>
        <w:rPr>
          <w:rFonts w:hint="eastAsia"/>
          <w:sz w:val="15"/>
          <w:szCs w:val="15"/>
          <w:lang w:val="en-US" w:eastAsia="zh-CN"/>
        </w:rPr>
        <w:t>冀TX8852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